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A83CFD1" w14:textId="77777777" w:rsidR="00876F24" w:rsidRDefault="00876F24" w:rsidP="00876F24">
      <w:r>
        <w:rPr>
          <w:noProof/>
        </w:rPr>
        <w:drawing>
          <wp:inline distT="0" distB="0" distL="0" distR="0" wp14:anchorId="44D47237" wp14:editId="4A325BE9">
            <wp:extent cx="1835837" cy="760288"/>
            <wp:effectExtent l="0" t="0" r="0" b="1905"/>
            <wp:docPr id="197558282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75582821" name="Picture 1975582821"/>
                    <pic:cNvPicPr/>
                  </pic:nvPicPr>
                  <pic:blipFill>
                    <a:blip r:embed="rId7" cstate="print">
                      <a:extLst>
                        <a:ext uri="{28A0092B-C50C-407E-A947-70E740481C1C}">
                          <a14:useLocalDpi xmlns:a14="http://schemas.microsoft.com/office/drawing/2010/main" val="0"/>
                        </a:ext>
                      </a:extLst>
                    </a:blip>
                    <a:stretch>
                      <a:fillRect/>
                    </a:stretch>
                  </pic:blipFill>
                  <pic:spPr>
                    <a:xfrm>
                      <a:off x="0" y="0"/>
                      <a:ext cx="1843641" cy="763520"/>
                    </a:xfrm>
                    <a:prstGeom prst="rect">
                      <a:avLst/>
                    </a:prstGeom>
                  </pic:spPr>
                </pic:pic>
              </a:graphicData>
            </a:graphic>
          </wp:inline>
        </w:drawing>
      </w:r>
    </w:p>
    <w:p w14:paraId="7DC83181" w14:textId="77777777" w:rsidR="00876F24" w:rsidRDefault="00876F24" w:rsidP="00876F24"/>
    <w:p w14:paraId="042024FE" w14:textId="77777777" w:rsidR="00876F24" w:rsidRDefault="00876F24" w:rsidP="00876F24"/>
    <w:p w14:paraId="6037D2F4" w14:textId="77777777" w:rsidR="00876F24" w:rsidRPr="00100AEF" w:rsidRDefault="00876F24" w:rsidP="00876F24">
      <w:pPr>
        <w:rPr>
          <w:b/>
          <w:bCs/>
        </w:rPr>
      </w:pPr>
      <w:r w:rsidRPr="00100AEF">
        <w:rPr>
          <w:b/>
          <w:bCs/>
        </w:rPr>
        <w:t>VASSP Submission – Future School to Work Model</w:t>
      </w:r>
    </w:p>
    <w:p w14:paraId="58A4BAB3" w14:textId="77777777" w:rsidR="00876F24" w:rsidRPr="00100AEF" w:rsidRDefault="00876F24" w:rsidP="00876F24">
      <w:r w:rsidRPr="00100AEF">
        <w:t>The Victorian Association of State Secondary Principals (VASSP) welcomes the opportunity to contribute to consultation regarding the future of the School to Work (STW) program.</w:t>
      </w:r>
    </w:p>
    <w:p w14:paraId="429B399F" w14:textId="77777777" w:rsidR="00876F24" w:rsidRPr="00100AEF" w:rsidRDefault="00876F24" w:rsidP="00876F24">
      <w:r w:rsidRPr="00100AEF">
        <w:t>Work-based learning (WBL), structured workplace learning (SWL) and meaningful employer engagement are not optional enhancements to schooling</w:t>
      </w:r>
      <w:r>
        <w:t xml:space="preserve">, </w:t>
      </w:r>
      <w:r w:rsidRPr="00100AEF">
        <w:t>they are central to senior secondary pathways reform. They enable students to explore careers, test interests, build work-readiness skills and make informed decisions about study, training and employment.</w:t>
      </w:r>
    </w:p>
    <w:p w14:paraId="57FE655F" w14:textId="77777777" w:rsidR="00876F24" w:rsidRPr="00100AEF" w:rsidRDefault="00876F24" w:rsidP="00876F24">
      <w:r w:rsidRPr="00100AEF">
        <w:t>The current model, delivered through 31 Local Learning and Employment Networks (LLENs), supports approximately 3% of work experience placements and 10% of structured workplace learning placements for government school students. While this investment is important, the scale of impact remains modest relative to overall student participation.</w:t>
      </w:r>
    </w:p>
    <w:p w14:paraId="5583DAD5" w14:textId="77777777" w:rsidR="00876F24" w:rsidRPr="00100AEF" w:rsidRDefault="00876F24" w:rsidP="00876F24">
      <w:r w:rsidRPr="00100AEF">
        <w:t xml:space="preserve">Consultation data </w:t>
      </w:r>
      <w:r>
        <w:t xml:space="preserve">provided for the submission, </w:t>
      </w:r>
      <w:r w:rsidRPr="00100AEF">
        <w:t>reinforces the need for reform. While 90% of Victorians believe work-based learning is important, around 30% of government school students do not par</w:t>
      </w:r>
      <w:r>
        <w:t>t</w:t>
      </w:r>
      <w:r w:rsidRPr="00100AEF">
        <w:t>icipate. More than half of principals (52%) report that access to work experience or structured workplace learning is a challenge. Only 41% of Victorians believe students get enough exposure to real workplaces, and 76% of employers do not know what a LLEN is.</w:t>
      </w:r>
    </w:p>
    <w:p w14:paraId="3E6EF7BE" w14:textId="77777777" w:rsidR="00876F24" w:rsidRPr="00D81B8E" w:rsidRDefault="00876F24" w:rsidP="00876F24">
      <w:r w:rsidRPr="00100AEF">
        <w:t>These figures indicate that the issue is not simply funding</w:t>
      </w:r>
      <w:r>
        <w:t xml:space="preserve">, </w:t>
      </w:r>
      <w:r w:rsidRPr="00100AEF">
        <w:t>it is system coherence, visibility, scale and equity.</w:t>
      </w:r>
    </w:p>
    <w:p w14:paraId="4223101C" w14:textId="77777777" w:rsidR="00876F24" w:rsidRPr="00110985" w:rsidRDefault="00876F24" w:rsidP="00876F24">
      <w:pPr>
        <w:rPr>
          <w:b/>
          <w:bCs/>
        </w:rPr>
      </w:pPr>
      <w:r w:rsidRPr="00110985">
        <w:rPr>
          <w:b/>
          <w:bCs/>
        </w:rPr>
        <w:t>Improving Efficiencies</w:t>
      </w:r>
    </w:p>
    <w:p w14:paraId="562DE514" w14:textId="77777777" w:rsidR="00876F24" w:rsidRPr="00100AEF" w:rsidRDefault="00876F24" w:rsidP="00876F24">
      <w:r w:rsidRPr="00100AEF">
        <w:t xml:space="preserve">Reform should not focus solely on replacing or adjusting the existing LLEN funding model. Instead, the central question should be: </w:t>
      </w:r>
      <w:r>
        <w:t>H</w:t>
      </w:r>
      <w:r w:rsidRPr="00100AEF">
        <w:t>ow do we design a coherent statewide system that improves access, equity, employer activation and measurable outcomes for students?</w:t>
      </w:r>
    </w:p>
    <w:p w14:paraId="39BA011D" w14:textId="77777777" w:rsidR="00876F24" w:rsidRDefault="00876F24" w:rsidP="00876F24">
      <w:r w:rsidRPr="00100AEF">
        <w:t>The establishment of a Statewide Opportunities function has potential</w:t>
      </w:r>
      <w:r w:rsidRPr="004C5575">
        <w:t>.</w:t>
      </w:r>
      <w:r w:rsidRPr="00100AEF">
        <w:t xml:space="preserve"> A centralised expression-of-interest model for large businesses may streamline engagement at one level, but without explicit regional activation strategies and measurable performance targets, it risks reinforcing metropolitan concentration. If employer EOIs are ultimately </w:t>
      </w:r>
      <w:proofErr w:type="gramStart"/>
      <w:r w:rsidRPr="00100AEF">
        <w:t>referred back</w:t>
      </w:r>
      <w:proofErr w:type="gramEnd"/>
      <w:r w:rsidRPr="00100AEF">
        <w:t xml:space="preserve"> to local LLENs without increasing net new placement supply</w:t>
      </w:r>
      <w:r>
        <w:t xml:space="preserve">, </w:t>
      </w:r>
      <w:r w:rsidRPr="00100AEF">
        <w:t>particularly in thin rural labour markets</w:t>
      </w:r>
      <w:r>
        <w:t xml:space="preserve">, </w:t>
      </w:r>
      <w:r w:rsidRPr="00100AEF">
        <w:t>the structural change will not translate to improved student access.</w:t>
      </w:r>
    </w:p>
    <w:p w14:paraId="2FC98F00" w14:textId="77777777" w:rsidR="00876F24" w:rsidRPr="00100AEF" w:rsidRDefault="00876F24" w:rsidP="00876F24">
      <w:r w:rsidRPr="00100AEF">
        <w:t>To reduce variability in approach, quality and effectiveness, structural consolidation should also be considered. The current 31-contract model creates fragmentation, administrative burden and inconsistent delivery standards. A consolidated model</w:t>
      </w:r>
      <w:r>
        <w:t xml:space="preserve">, </w:t>
      </w:r>
      <w:r w:rsidRPr="00100AEF">
        <w:t>for example, metropolitan, regional and rural contracts</w:t>
      </w:r>
      <w:r>
        <w:t xml:space="preserve">, </w:t>
      </w:r>
      <w:r w:rsidRPr="00100AEF">
        <w:t>could retain place-based responsiveness at scale while reducing contractual complexity. This would strengthen system influence, improve consistency of practice, enable differentiated performance settings based on labour market density, and reduce variability in quality across the state.</w:t>
      </w:r>
    </w:p>
    <w:p w14:paraId="627FC831" w14:textId="77777777" w:rsidR="00876F24" w:rsidRPr="00100AEF" w:rsidRDefault="00876F24" w:rsidP="00876F24">
      <w:r w:rsidRPr="00100AEF">
        <w:t>Government’s role should be to define outcome parameters, equity settings and accountability frameworks, and then co-design implementation with LLEN representatives and school leaders. Designing the system architecture first</w:t>
      </w:r>
      <w:r>
        <w:t xml:space="preserve">, </w:t>
      </w:r>
      <w:r w:rsidRPr="00100AEF">
        <w:t>rather than adjusting individual components</w:t>
      </w:r>
      <w:r>
        <w:t xml:space="preserve">, </w:t>
      </w:r>
      <w:r w:rsidRPr="00100AEF">
        <w:t>will produce a more coherent and sustainable model.</w:t>
      </w:r>
    </w:p>
    <w:p w14:paraId="5B2FEDCB" w14:textId="77777777" w:rsidR="00876F24" w:rsidRDefault="00876F24" w:rsidP="00876F24"/>
    <w:p w14:paraId="58C27776" w14:textId="77777777" w:rsidR="00876F24" w:rsidRPr="00110985" w:rsidRDefault="00876F24" w:rsidP="00876F24">
      <w:pPr>
        <w:rPr>
          <w:b/>
          <w:bCs/>
          <w:lang w:val="en-GB"/>
        </w:rPr>
      </w:pPr>
      <w:r w:rsidRPr="00110985">
        <w:rPr>
          <w:b/>
          <w:bCs/>
          <w:lang w:val="en-GB"/>
        </w:rPr>
        <w:t xml:space="preserve">Improving the Program’s Effectiveness </w:t>
      </w:r>
    </w:p>
    <w:p w14:paraId="376DC73B" w14:textId="77777777" w:rsidR="00876F24" w:rsidRPr="00100AEF" w:rsidRDefault="00876F24" w:rsidP="00876F24">
      <w:r w:rsidRPr="00100AEF">
        <w:t>Clear statewide performance measures should be established, including employer activation targets, regional equity benchmarks, placement conversion rates and participation rates for priority cohorts. Accountability for outcomes</w:t>
      </w:r>
      <w:r>
        <w:t xml:space="preserve">, </w:t>
      </w:r>
      <w:r w:rsidRPr="00100AEF">
        <w:t>not activity</w:t>
      </w:r>
      <w:r>
        <w:t xml:space="preserve">, </w:t>
      </w:r>
      <w:r w:rsidRPr="00100AEF">
        <w:t>must be visible.</w:t>
      </w:r>
    </w:p>
    <w:p w14:paraId="0980E25A" w14:textId="77777777" w:rsidR="00876F24" w:rsidRPr="00100AEF" w:rsidRDefault="00876F24" w:rsidP="00876F24">
      <w:r w:rsidRPr="00100AEF">
        <w:t>A statewide audit of existing LLEN employer portals is also warranted. It is unclear whether all listed employers are active, aligned to priority industries, or reflective of contemporary VET enrolments and student interests. Introducing annual employer renewal or activation ratios (appropriately adjusted for rural markets) would drive growth rather than maintain static databases. Transparent reporting would make visible the imbalance between student demand and placement supply and strengthen the case for targeted intervention.</w:t>
      </w:r>
    </w:p>
    <w:p w14:paraId="307847D9" w14:textId="77777777" w:rsidR="00876F24" w:rsidRPr="00100AEF" w:rsidRDefault="00876F24" w:rsidP="00876F24">
      <w:r w:rsidRPr="00100AEF">
        <w:t>Importantly, previous reforms have successfully increased student engagement in VET and broadened pathway participation. Reform should build upon these gains rather than destabilise proven elements of the model.</w:t>
      </w:r>
    </w:p>
    <w:p w14:paraId="11692FAB" w14:textId="77777777" w:rsidR="00876F24" w:rsidRPr="00100AEF" w:rsidRDefault="00876F24" w:rsidP="00876F24">
      <w:r w:rsidRPr="00100AEF">
        <w:t>There is also a need to map employer supply against student demand and equity indicators. Government should analyse the collective employer base against VET enrolments, student career interests, geographic accessibility, transport barriers and participation of priority cohorts. Without this analysis, redesign risks being structurally driven rather than student-centred.</w:t>
      </w:r>
    </w:p>
    <w:p w14:paraId="0B5672D0" w14:textId="77777777" w:rsidR="00876F24" w:rsidRPr="00100AEF" w:rsidRDefault="00876F24" w:rsidP="00876F24">
      <w:r w:rsidRPr="00100AEF">
        <w:t xml:space="preserve">The new entitlement model linking funding to the student rather than the host LLEN is a positive reform. It removes perverse incentives where placements secured outside a student’s home area created artificial balancing arrangements. However, it raises a broader systemic question: </w:t>
      </w:r>
      <w:r>
        <w:t>W</w:t>
      </w:r>
      <w:r w:rsidRPr="00100AEF">
        <w:t>hy are rural students disproportionately travelling to metropolitan areas for placements, and what prevents reciprocal attraction of placements into rural regions? Reform must actively address regional industry engagement, transport barriers, cross-boundary coordination and employer incentives if mobility is to promote equity rather than entrench imbalance.</w:t>
      </w:r>
    </w:p>
    <w:p w14:paraId="0E7F582D" w14:textId="77777777" w:rsidR="00876F24" w:rsidRPr="00100AEF" w:rsidRDefault="00876F24" w:rsidP="00876F24">
      <w:r w:rsidRPr="00100AEF">
        <w:t>A significant opportunity exists to create a dynamic, statewide LLEN portal that enables students</w:t>
      </w:r>
      <w:r>
        <w:t xml:space="preserve">, </w:t>
      </w:r>
      <w:r w:rsidRPr="00100AEF">
        <w:t>with appropriate school mediation and safeguards</w:t>
      </w:r>
      <w:r>
        <w:t xml:space="preserve">, </w:t>
      </w:r>
      <w:r w:rsidRPr="00100AEF">
        <w:t>to view and access placement opportunities beyond their immediate geographic boundary. Such a portal should:</w:t>
      </w:r>
    </w:p>
    <w:p w14:paraId="46667C2E" w14:textId="77777777" w:rsidR="00876F24" w:rsidRPr="00100AEF" w:rsidRDefault="00876F24" w:rsidP="00876F24">
      <w:pPr>
        <w:numPr>
          <w:ilvl w:val="0"/>
          <w:numId w:val="1"/>
        </w:numPr>
      </w:pPr>
      <w:r w:rsidRPr="00100AEF">
        <w:t>Provide real-time visibility of placement availability across Victoria</w:t>
      </w:r>
    </w:p>
    <w:p w14:paraId="64B6D5A3" w14:textId="77777777" w:rsidR="00876F24" w:rsidRPr="00100AEF" w:rsidRDefault="00876F24" w:rsidP="00876F24">
      <w:pPr>
        <w:numPr>
          <w:ilvl w:val="0"/>
          <w:numId w:val="1"/>
        </w:numPr>
      </w:pPr>
      <w:r w:rsidRPr="00100AEF">
        <w:t>Allow cross-area access without administrative penalty</w:t>
      </w:r>
    </w:p>
    <w:p w14:paraId="552EC1C1" w14:textId="77777777" w:rsidR="00876F24" w:rsidRPr="00100AEF" w:rsidRDefault="00876F24" w:rsidP="00876F24">
      <w:pPr>
        <w:numPr>
          <w:ilvl w:val="0"/>
          <w:numId w:val="1"/>
        </w:numPr>
      </w:pPr>
      <w:r w:rsidRPr="00100AEF">
        <w:t>Prioritise equity cohorts</w:t>
      </w:r>
    </w:p>
    <w:p w14:paraId="7DCBE665" w14:textId="77777777" w:rsidR="00876F24" w:rsidRPr="00100AEF" w:rsidRDefault="00876F24" w:rsidP="00876F24">
      <w:pPr>
        <w:numPr>
          <w:ilvl w:val="0"/>
          <w:numId w:val="1"/>
        </w:numPr>
      </w:pPr>
      <w:r w:rsidRPr="00100AEF">
        <w:t>Integrate employer onboarding and compliance requirements</w:t>
      </w:r>
    </w:p>
    <w:p w14:paraId="1252B65E" w14:textId="77777777" w:rsidR="00876F24" w:rsidRPr="00100AEF" w:rsidRDefault="00876F24" w:rsidP="00876F24">
      <w:pPr>
        <w:numPr>
          <w:ilvl w:val="0"/>
          <w:numId w:val="1"/>
        </w:numPr>
      </w:pPr>
      <w:r w:rsidRPr="00100AEF">
        <w:t>Track conversion and completion rates</w:t>
      </w:r>
    </w:p>
    <w:p w14:paraId="0A2AE96D" w14:textId="77777777" w:rsidR="00876F24" w:rsidRDefault="00876F24" w:rsidP="00876F24">
      <w:r w:rsidRPr="00100AEF">
        <w:t>A genuinely dynamic platform would reduce duplication, improve transparency and broaden student opportunity, particularly for those in smaller or thin labour markets. It would also elevate employer visibility and simplify engagement.</w:t>
      </w:r>
    </w:p>
    <w:p w14:paraId="5763E36B" w14:textId="77777777" w:rsidR="006162FA" w:rsidRDefault="006162FA" w:rsidP="00876F24"/>
    <w:p w14:paraId="2B49B3B2" w14:textId="77E0369E" w:rsidR="00876F24" w:rsidRPr="006162FA" w:rsidDel="009E2C36" w:rsidRDefault="006162FA" w:rsidP="00876F24">
      <w:pPr>
        <w:rPr>
          <w:b/>
          <w:bCs/>
        </w:rPr>
      </w:pPr>
      <w:r w:rsidRPr="006162FA">
        <w:rPr>
          <w:b/>
          <w:bCs/>
        </w:rPr>
        <w:t>Other Considerations</w:t>
      </w:r>
    </w:p>
    <w:p w14:paraId="457F76E0" w14:textId="77777777" w:rsidR="00876F24" w:rsidRPr="00100AEF" w:rsidRDefault="00876F24" w:rsidP="00876F24">
      <w:r w:rsidRPr="00100AEF">
        <w:t>Improving School to Work must sit clearly within senior secondary pathways reform. The objective is not simply to increase placement numbers, but to ensure more students choose and engage in pathways that fit them, complete school confident and prepared, and transition into further study, training or employment aligned to their interests and strengths.</w:t>
      </w:r>
    </w:p>
    <w:p w14:paraId="46004697" w14:textId="77777777" w:rsidR="00876F24" w:rsidRPr="00100AEF" w:rsidRDefault="00876F24" w:rsidP="00876F24">
      <w:r w:rsidRPr="00100AEF">
        <w:t>Victoria invests $16 million annually in this program. Reform should ensure that this investment delivers scaled, measurable and equitable impact. Strengthening employer activation, improving statewide visibility, reducing variability in delivery, protecting student-linked funding and designing a dynamic, data-informed system will position Victoria to achieve meaningful improvement.</w:t>
      </w:r>
    </w:p>
    <w:p w14:paraId="13A0F92F" w14:textId="77777777" w:rsidR="00876F24" w:rsidRPr="00100AEF" w:rsidRDefault="00876F24" w:rsidP="00876F24">
      <w:r w:rsidRPr="00100AEF">
        <w:t>VASSP welcomes continued engagement in structured system design discussions and would value the opportunity to contribute principal expertise to the next phase of reform.</w:t>
      </w:r>
    </w:p>
    <w:p w14:paraId="218429E3" w14:textId="77777777" w:rsidR="00876F24" w:rsidRDefault="00876F24" w:rsidP="00876F24"/>
    <w:p w14:paraId="6647AA93" w14:textId="77777777" w:rsidR="00876F24" w:rsidRDefault="00876F24" w:rsidP="00876F24">
      <w:r>
        <w:t>Belinda Hudak</w:t>
      </w:r>
    </w:p>
    <w:p w14:paraId="6667C3AF" w14:textId="77777777" w:rsidR="00876F24" w:rsidRPr="00100AEF" w:rsidRDefault="00876F24" w:rsidP="00876F24">
      <w:pPr>
        <w:spacing w:after="0"/>
      </w:pPr>
      <w:r w:rsidRPr="00100AEF">
        <w:rPr>
          <w:b/>
          <w:bCs/>
        </w:rPr>
        <w:t>President</w:t>
      </w:r>
      <w:r>
        <w:rPr>
          <w:b/>
          <w:bCs/>
        </w:rPr>
        <w:t xml:space="preserve"> - </w:t>
      </w:r>
      <w:r w:rsidRPr="00100AEF">
        <w:rPr>
          <w:b/>
          <w:bCs/>
        </w:rPr>
        <w:t>Victorian Association of State Secondary Principals</w:t>
      </w:r>
    </w:p>
    <w:p w14:paraId="35CAFB33" w14:textId="77777777" w:rsidR="00876F24" w:rsidRPr="00100AEF" w:rsidRDefault="00876F24" w:rsidP="00876F24">
      <w:pPr>
        <w:spacing w:after="0"/>
      </w:pPr>
      <w:r w:rsidRPr="00100AEF">
        <w:t xml:space="preserve">Unit 2/13-21 Vale </w:t>
      </w:r>
      <w:proofErr w:type="gramStart"/>
      <w:r w:rsidRPr="00100AEF">
        <w:t>Street  North</w:t>
      </w:r>
      <w:proofErr w:type="gramEnd"/>
      <w:r w:rsidRPr="00100AEF">
        <w:t xml:space="preserve"> </w:t>
      </w:r>
      <w:proofErr w:type="gramStart"/>
      <w:r w:rsidRPr="00100AEF">
        <w:t>Melbourne  3051</w:t>
      </w:r>
      <w:proofErr w:type="gramEnd"/>
    </w:p>
    <w:p w14:paraId="47139936" w14:textId="77777777" w:rsidR="00876F24" w:rsidRPr="00100AEF" w:rsidRDefault="00876F24" w:rsidP="00876F24">
      <w:pPr>
        <w:spacing w:after="0"/>
      </w:pPr>
      <w:r w:rsidRPr="00100AEF">
        <w:rPr>
          <w:b/>
          <w:bCs/>
        </w:rPr>
        <w:t>M: +61 419 351 993</w:t>
      </w:r>
    </w:p>
    <w:p w14:paraId="55E9839C" w14:textId="77777777" w:rsidR="00876F24" w:rsidRDefault="00876F24" w:rsidP="00876F24">
      <w:pPr>
        <w:spacing w:after="0"/>
      </w:pPr>
      <w:hyperlink r:id="rId8" w:tooltip="mailto:bhudak@vassp.org.au" w:history="1">
        <w:r w:rsidRPr="00100AEF">
          <w:rPr>
            <w:rStyle w:val="Hyperlink"/>
          </w:rPr>
          <w:t>bhudak@vassp.org.au</w:t>
        </w:r>
      </w:hyperlink>
    </w:p>
    <w:p w14:paraId="7A6ACD16" w14:textId="77777777" w:rsidR="00876F24" w:rsidRPr="00100AEF" w:rsidRDefault="00876F24" w:rsidP="00876F24">
      <w:pPr>
        <w:spacing w:after="0"/>
      </w:pPr>
      <w:hyperlink r:id="rId9" w:tooltip="http://www.vassp.org.au/" w:history="1">
        <w:r w:rsidRPr="00100AEF">
          <w:rPr>
            <w:rStyle w:val="Hyperlink"/>
          </w:rPr>
          <w:t>www.vassp.org.au</w:t>
        </w:r>
      </w:hyperlink>
    </w:p>
    <w:p w14:paraId="6E4AC7E4" w14:textId="77777777" w:rsidR="00876F24" w:rsidRDefault="00876F24" w:rsidP="00876F24"/>
    <w:p w14:paraId="49CBB99E" w14:textId="7561F64A" w:rsidR="003B5A94" w:rsidRPr="003B5A94" w:rsidRDefault="003B5A94" w:rsidP="00876F24">
      <w:pPr>
        <w:rPr>
          <w:b/>
          <w:bCs/>
        </w:rPr>
      </w:pPr>
      <w:r w:rsidRPr="003B5A94">
        <w:rPr>
          <w:b/>
          <w:bCs/>
        </w:rPr>
        <w:t>Submitted 1/03/2026</w:t>
      </w:r>
    </w:p>
    <w:p w14:paraId="45E35C41" w14:textId="75BF8627" w:rsidR="00876F24" w:rsidRDefault="00354FD3" w:rsidP="00876F24">
      <w:r>
        <w:t xml:space="preserve">Engage Victoria have Structured Responses as 3 question Submission, the VASSP Submission would </w:t>
      </w:r>
      <w:r w:rsidR="00321F92">
        <w:t>divided as below:</w:t>
      </w:r>
    </w:p>
    <w:p w14:paraId="0DE1F867" w14:textId="77777777" w:rsidR="00321F92" w:rsidRDefault="00321F92" w:rsidP="00876F24"/>
    <w:p w14:paraId="3E570F24" w14:textId="7BE5CC24" w:rsidR="00876F24" w:rsidRPr="00930F7C" w:rsidRDefault="00876F24" w:rsidP="00876F24">
      <w:pPr>
        <w:rPr>
          <w:b/>
          <w:bCs/>
          <w:sz w:val="32"/>
          <w:szCs w:val="32"/>
        </w:rPr>
      </w:pPr>
      <w:r w:rsidRPr="00930F7C">
        <w:rPr>
          <w:b/>
          <w:bCs/>
          <w:sz w:val="32"/>
          <w:szCs w:val="32"/>
        </w:rPr>
        <w:t xml:space="preserve">Available </w:t>
      </w:r>
      <w:r w:rsidR="00321F92" w:rsidRPr="00930F7C">
        <w:rPr>
          <w:b/>
          <w:bCs/>
          <w:sz w:val="32"/>
          <w:szCs w:val="32"/>
        </w:rPr>
        <w:t xml:space="preserve">Questions </w:t>
      </w:r>
      <w:r w:rsidRPr="00930F7C">
        <w:rPr>
          <w:b/>
          <w:bCs/>
          <w:sz w:val="32"/>
          <w:szCs w:val="32"/>
        </w:rPr>
        <w:t>for Submission</w:t>
      </w:r>
    </w:p>
    <w:p w14:paraId="2CECB6A4" w14:textId="77777777" w:rsidR="00876F24" w:rsidRPr="00930F7C" w:rsidRDefault="00876F24" w:rsidP="00876F24">
      <w:pPr>
        <w:rPr>
          <w:b/>
          <w:bCs/>
        </w:rPr>
      </w:pPr>
      <w:r w:rsidRPr="00930F7C">
        <w:rPr>
          <w:b/>
          <w:bCs/>
        </w:rPr>
        <w:t>How could the program be made more efficient in improving work-based learning access, equity, quality and supply?</w:t>
      </w:r>
    </w:p>
    <w:p w14:paraId="0CF4C8FF" w14:textId="77777777" w:rsidR="00A61603" w:rsidRPr="00100AEF" w:rsidRDefault="00A61603" w:rsidP="00A61603">
      <w:r w:rsidRPr="00100AEF">
        <w:t>The Victorian Association of State Secondary Principals (VASSP) welcomes the opportunity to contribute to consultation regarding the future of the School to Work (STW) program.</w:t>
      </w:r>
    </w:p>
    <w:p w14:paraId="25CFA299" w14:textId="77777777" w:rsidR="00A61603" w:rsidRPr="00100AEF" w:rsidRDefault="00A61603" w:rsidP="00A61603">
      <w:r w:rsidRPr="00100AEF">
        <w:t>Work-based learning (WBL), structured workplace learning (SWL) and meaningful employer engagement are not optional enhancements to schooling</w:t>
      </w:r>
      <w:r>
        <w:t xml:space="preserve">, </w:t>
      </w:r>
      <w:r w:rsidRPr="00100AEF">
        <w:t>they are central to senior secondary pathways reform. They enable students to explore careers, test interests, build work-readiness skills and make informed decisions about study, training and employment.</w:t>
      </w:r>
    </w:p>
    <w:p w14:paraId="299D97C2" w14:textId="77777777" w:rsidR="00A61603" w:rsidRPr="00100AEF" w:rsidRDefault="00A61603" w:rsidP="00A61603">
      <w:r w:rsidRPr="00100AEF">
        <w:t>The current model, delivered through 31 Local Learning and Employment Networks (LLENs), supports approximately 3% of work experience placements and 10% of structured workplace learning placements for government school students. While this investment is important, the scale of impact remains modest relative to overall student participation.</w:t>
      </w:r>
    </w:p>
    <w:p w14:paraId="1DD3AE97" w14:textId="77777777" w:rsidR="00A61603" w:rsidRPr="00100AEF" w:rsidRDefault="00A61603" w:rsidP="00A61603">
      <w:r w:rsidRPr="00100AEF">
        <w:t xml:space="preserve">Consultation data </w:t>
      </w:r>
      <w:r>
        <w:t xml:space="preserve">provided for the submission, </w:t>
      </w:r>
      <w:r w:rsidRPr="00100AEF">
        <w:t>reinforces the need for reform. While 90% of Victorians believe work-based learning is important, around 30% of government school students do not par</w:t>
      </w:r>
      <w:r>
        <w:t>t</w:t>
      </w:r>
      <w:r w:rsidRPr="00100AEF">
        <w:t>icipate. More than half of principals (52%) report that access to work experience or structured workplace learning is a challenge. Only 41% of Victorians believe students get enough exposure to real workplaces, and 76% of employers do not know what a LLEN is.</w:t>
      </w:r>
    </w:p>
    <w:p w14:paraId="5CDDAAC6" w14:textId="77777777" w:rsidR="00A61603" w:rsidRPr="00D81B8E" w:rsidRDefault="00A61603" w:rsidP="00A61603">
      <w:r w:rsidRPr="00100AEF">
        <w:t>These figures indicate that the issue is not simply funding</w:t>
      </w:r>
      <w:r>
        <w:t xml:space="preserve">, </w:t>
      </w:r>
      <w:r w:rsidRPr="00100AEF">
        <w:t>it is system coherence, visibility, scale and equity.</w:t>
      </w:r>
    </w:p>
    <w:p w14:paraId="33947E7B" w14:textId="77777777" w:rsidR="00876F24" w:rsidRPr="00110985" w:rsidRDefault="00876F24" w:rsidP="00876F24"/>
    <w:p w14:paraId="62C50E5F" w14:textId="77777777" w:rsidR="00876F24" w:rsidRPr="00110985" w:rsidRDefault="00876F24" w:rsidP="00876F24">
      <w:pPr>
        <w:rPr>
          <w:b/>
          <w:bCs/>
        </w:rPr>
      </w:pPr>
      <w:r w:rsidRPr="00110985">
        <w:rPr>
          <w:b/>
          <w:bCs/>
        </w:rPr>
        <w:t>How could the program be made more effective in improving work-based learning access, equity, quality and supply?</w:t>
      </w:r>
    </w:p>
    <w:p w14:paraId="64945A0D" w14:textId="77777777" w:rsidR="002B6B34" w:rsidRPr="00110985" w:rsidRDefault="002B6B34" w:rsidP="002B6B34">
      <w:r w:rsidRPr="00110985">
        <w:t>Reform should not focus solely on replacing or adjusting the existing LLEN funding model. Instead, the central question should be: how do we design a coherent statewide system that improves access, equity, employer activation and measurable outcomes for students?</w:t>
      </w:r>
    </w:p>
    <w:p w14:paraId="6012C499" w14:textId="65DEEC35" w:rsidR="00656F4A" w:rsidRDefault="002B6B34" w:rsidP="00656F4A">
      <w:r w:rsidRPr="00110985">
        <w:t xml:space="preserve">The establishment of a Statewide Opportunities function has potential. A centralised expression-of-interest model for large businesses may streamline engagement at one level, but without explicit regional activation strategies and measurable performance targets, it risks reinforcing metropolitan concentration. If employer EOIs are ultimately </w:t>
      </w:r>
      <w:proofErr w:type="gramStart"/>
      <w:r w:rsidRPr="00110985">
        <w:t>referred back</w:t>
      </w:r>
      <w:proofErr w:type="gramEnd"/>
      <w:r w:rsidRPr="00110985">
        <w:t xml:space="preserve"> to local LLENs without increasing net new placement </w:t>
      </w:r>
      <w:r w:rsidR="00321F92" w:rsidRPr="00110985">
        <w:t>supply, particularly</w:t>
      </w:r>
      <w:r w:rsidRPr="00110985">
        <w:t xml:space="preserve"> in thin rural labour </w:t>
      </w:r>
      <w:proofErr w:type="gramStart"/>
      <w:r w:rsidRPr="00110985">
        <w:t>markets,  the</w:t>
      </w:r>
      <w:proofErr w:type="gramEnd"/>
      <w:r w:rsidRPr="00110985">
        <w:t xml:space="preserve"> structural change will not translate to improved student access.</w:t>
      </w:r>
      <w:r w:rsidR="00656F4A" w:rsidRPr="00656F4A">
        <w:t xml:space="preserve"> </w:t>
      </w:r>
    </w:p>
    <w:p w14:paraId="496DAEBF" w14:textId="7C54E644" w:rsidR="00656F4A" w:rsidRPr="00100AEF" w:rsidRDefault="00656F4A" w:rsidP="00656F4A">
      <w:r w:rsidRPr="00100AEF">
        <w:t>To reduce variability in approach, quality and effectiveness, structural consolidation should also be considered. The current 31-contract model creates fragmentation, administrative burden and inconsistent delivery standards. A consolidated model</w:t>
      </w:r>
      <w:r>
        <w:t xml:space="preserve">, </w:t>
      </w:r>
      <w:r w:rsidRPr="00100AEF">
        <w:t>for example, metropolitan, regional and rural contracts</w:t>
      </w:r>
      <w:r>
        <w:t xml:space="preserve">, </w:t>
      </w:r>
      <w:r w:rsidRPr="00100AEF">
        <w:t>could retain place-based responsiveness at scale while reducing contractual complexity. This would strengthen system influence, improve consistency of practice, enable differentiated performance settings based on labour market density, and reduce variability in quality across the state.</w:t>
      </w:r>
    </w:p>
    <w:p w14:paraId="0FD5B8AC" w14:textId="77777777" w:rsidR="00656F4A" w:rsidRPr="00100AEF" w:rsidRDefault="00656F4A" w:rsidP="00656F4A">
      <w:r w:rsidRPr="00100AEF">
        <w:t>Government’s role should be to define outcome parameters, equity settings and accountability frameworks, and then co-design implementation with LLEN representatives and school leaders. Designing the system architecture first</w:t>
      </w:r>
      <w:r>
        <w:t xml:space="preserve">, </w:t>
      </w:r>
      <w:r w:rsidRPr="00100AEF">
        <w:t>rather than adjusting individual components</w:t>
      </w:r>
      <w:r>
        <w:t xml:space="preserve">, </w:t>
      </w:r>
      <w:r w:rsidRPr="00100AEF">
        <w:t>will produce a more coherent and sustainable model.</w:t>
      </w:r>
    </w:p>
    <w:p w14:paraId="267DC25A" w14:textId="77777777" w:rsidR="00656F4A" w:rsidRDefault="00656F4A" w:rsidP="00876F24"/>
    <w:p w14:paraId="3CC53C9C" w14:textId="7DD66F6E" w:rsidR="00876F24" w:rsidRPr="00110985" w:rsidRDefault="00876F24" w:rsidP="00876F24">
      <w:r w:rsidRPr="00110985">
        <w:t>Clear statewide performance measures should be established, including employer activation targets, regional equity benchmarks, placement conversion rates and participation rates for priority cohorts. Accountability for outcomes, not activity, must be visible.</w:t>
      </w:r>
    </w:p>
    <w:p w14:paraId="75B30E4D" w14:textId="77777777" w:rsidR="00876F24" w:rsidRPr="00110985" w:rsidRDefault="00876F24" w:rsidP="00876F24">
      <w:r w:rsidRPr="00110985">
        <w:t>A statewide audit of existing LLEN employer portals is also warranted. It is unclear whether all listed employers are active, aligned to priority industries, or reflective of contemporary VET enrolments and student interests. Introducing annual employer renewal or activation ratios (appropriately adjusted for rural markets) would drive growth rather than maintain static databases. Transparent reporting would make visible the imbalance between student demand and placement supply and strengthen the case for targeted intervention.</w:t>
      </w:r>
    </w:p>
    <w:p w14:paraId="713893CF" w14:textId="77777777" w:rsidR="00876F24" w:rsidRPr="00110985" w:rsidRDefault="00876F24" w:rsidP="00876F24">
      <w:r w:rsidRPr="00110985">
        <w:t>Importantly, previous reforms have successfully increased student engagement in VET and broadened pathway participation. Reform should build upon these gains rather than destabilise proven elements of the model.</w:t>
      </w:r>
    </w:p>
    <w:p w14:paraId="228B6583" w14:textId="77777777" w:rsidR="00876F24" w:rsidRPr="00110985" w:rsidRDefault="00876F24" w:rsidP="00876F24">
      <w:r w:rsidRPr="00110985">
        <w:t>There is also a need to map employer supply against student demand and equity indicators. Government should analyse the collective employer base against VET enrolments, student career interests, geographic accessibility, transport barriers and participation of priority cohorts. Without this analysis, redesign risks being structurally driven rather than student-centred.</w:t>
      </w:r>
    </w:p>
    <w:p w14:paraId="58C20910" w14:textId="77777777" w:rsidR="00876F24" w:rsidRPr="00100AEF" w:rsidRDefault="00876F24" w:rsidP="00876F24">
      <w:r w:rsidRPr="00110985">
        <w:t>The new entitlement model linking funding to the student rather than the host LLEN is a positive reform. It removes perverse incentives where placements secured outside a</w:t>
      </w:r>
      <w:r w:rsidRPr="00100AEF">
        <w:t xml:space="preserve"> student’s home area created artificial balancing arrangements. However, it raises a broader systemic question: why are rural students disproportionately travelling to metropolitan areas for placements, and what prevents reciprocal attraction of placements into rural regions? Reform must actively address regional industry engagement, transport barriers, cross-boundary coordination and employer incentives if mobility is to promote equity rather than entrench imbalance.</w:t>
      </w:r>
    </w:p>
    <w:p w14:paraId="26E286AD" w14:textId="1642A000" w:rsidR="00876F24" w:rsidRPr="00100AEF" w:rsidRDefault="00876F24" w:rsidP="00876F24">
      <w:r w:rsidRPr="00100AEF">
        <w:t xml:space="preserve">A significant opportunity exists to create a dynamic, statewide LLEN portal that enables </w:t>
      </w:r>
      <w:r w:rsidR="00321F92" w:rsidRPr="00100AEF">
        <w:t>students</w:t>
      </w:r>
      <w:r w:rsidR="00321F92">
        <w:t xml:space="preserve">, </w:t>
      </w:r>
      <w:r w:rsidR="00321F92" w:rsidRPr="00100AEF">
        <w:t>with</w:t>
      </w:r>
      <w:r w:rsidRPr="00100AEF">
        <w:t xml:space="preserve"> appropriate school mediation and </w:t>
      </w:r>
      <w:proofErr w:type="gramStart"/>
      <w:r w:rsidRPr="00100AEF">
        <w:t>safeguards</w:t>
      </w:r>
      <w:r>
        <w:t xml:space="preserve">, </w:t>
      </w:r>
      <w:r w:rsidRPr="00100AEF">
        <w:t xml:space="preserve"> to</w:t>
      </w:r>
      <w:proofErr w:type="gramEnd"/>
      <w:r w:rsidRPr="00100AEF">
        <w:t xml:space="preserve"> view and access placement opportunities beyond their immediate geographic boundary. Such a portal should:</w:t>
      </w:r>
    </w:p>
    <w:p w14:paraId="5B5568D9" w14:textId="77777777" w:rsidR="00876F24" w:rsidRPr="00100AEF" w:rsidRDefault="00876F24" w:rsidP="00876F24">
      <w:pPr>
        <w:numPr>
          <w:ilvl w:val="0"/>
          <w:numId w:val="1"/>
        </w:numPr>
      </w:pPr>
      <w:r w:rsidRPr="00100AEF">
        <w:t>Provide real-time visibility of placement availability across Victoria</w:t>
      </w:r>
    </w:p>
    <w:p w14:paraId="76A42A0A" w14:textId="77777777" w:rsidR="00876F24" w:rsidRPr="00100AEF" w:rsidRDefault="00876F24" w:rsidP="00876F24">
      <w:pPr>
        <w:numPr>
          <w:ilvl w:val="0"/>
          <w:numId w:val="1"/>
        </w:numPr>
      </w:pPr>
      <w:r w:rsidRPr="00100AEF">
        <w:t>Allow cross-area access without administrative penalty</w:t>
      </w:r>
    </w:p>
    <w:p w14:paraId="12EDC057" w14:textId="77777777" w:rsidR="00876F24" w:rsidRPr="00100AEF" w:rsidRDefault="00876F24" w:rsidP="00876F24">
      <w:pPr>
        <w:numPr>
          <w:ilvl w:val="0"/>
          <w:numId w:val="1"/>
        </w:numPr>
      </w:pPr>
      <w:r w:rsidRPr="00100AEF">
        <w:t>Prioritise equity cohorts</w:t>
      </w:r>
    </w:p>
    <w:p w14:paraId="45F88313" w14:textId="77777777" w:rsidR="00876F24" w:rsidRPr="00100AEF" w:rsidRDefault="00876F24" w:rsidP="00876F24">
      <w:pPr>
        <w:numPr>
          <w:ilvl w:val="0"/>
          <w:numId w:val="1"/>
        </w:numPr>
      </w:pPr>
      <w:r w:rsidRPr="00100AEF">
        <w:t>Integrate employer onboarding and compliance requirements</w:t>
      </w:r>
    </w:p>
    <w:p w14:paraId="69C955F4" w14:textId="77777777" w:rsidR="00876F24" w:rsidRPr="00100AEF" w:rsidRDefault="00876F24" w:rsidP="00876F24">
      <w:pPr>
        <w:numPr>
          <w:ilvl w:val="0"/>
          <w:numId w:val="1"/>
        </w:numPr>
      </w:pPr>
      <w:r w:rsidRPr="00100AEF">
        <w:t>Track conversion and completion rates</w:t>
      </w:r>
    </w:p>
    <w:p w14:paraId="6BF35A9D" w14:textId="77777777" w:rsidR="00876F24" w:rsidRPr="00100AEF" w:rsidRDefault="00876F24" w:rsidP="00876F24">
      <w:r w:rsidRPr="00100AEF">
        <w:t>A genuinely dynamic platform would reduce duplication, improve transparency and broaden student opportunity, particularly for those in smaller or thin labour markets. It would also elevate employer visibility and simplify engagement.</w:t>
      </w:r>
    </w:p>
    <w:p w14:paraId="71E8253B" w14:textId="77777777" w:rsidR="00876F24" w:rsidRPr="00930F7C" w:rsidRDefault="00876F24" w:rsidP="00876F24"/>
    <w:p w14:paraId="71E92D5C" w14:textId="77777777" w:rsidR="00876F24" w:rsidRPr="00930F7C" w:rsidRDefault="00876F24" w:rsidP="00876F24">
      <w:pPr>
        <w:rPr>
          <w:b/>
          <w:bCs/>
        </w:rPr>
      </w:pPr>
      <w:r w:rsidRPr="00930F7C">
        <w:rPr>
          <w:b/>
          <w:bCs/>
        </w:rPr>
        <w:t>Are there any other ways we could improve School to Work?</w:t>
      </w:r>
    </w:p>
    <w:p w14:paraId="109B3EBE" w14:textId="77777777" w:rsidR="00876F24" w:rsidRPr="00100AEF" w:rsidRDefault="00876F24" w:rsidP="00876F24">
      <w:r w:rsidRPr="00100AEF">
        <w:t>Improving School to Work must sit clearly within senior secondary pathways reform. The objective is not simply to increase placement numbers, but to ensure more students choose and engage in pathways that fit them, complete school confident and prepared, and transition into further study, training or employment aligned to their interests and strengths.</w:t>
      </w:r>
    </w:p>
    <w:p w14:paraId="2EC2B08D" w14:textId="77777777" w:rsidR="00876F24" w:rsidRPr="00100AEF" w:rsidRDefault="00876F24" w:rsidP="00876F24">
      <w:r w:rsidRPr="00100AEF">
        <w:t>Victoria invests $16 million annually in this program. Reform should ensure that this investment delivers scaled, measurable and equitable impact. Strengthening employer activation, improving statewide visibility, reducing variability in delivery, protecting student-linked funding and designing a dynamic, data-informed system will position Victoria to achieve meaningful improvement.</w:t>
      </w:r>
    </w:p>
    <w:p w14:paraId="7DFBED88" w14:textId="77777777" w:rsidR="00876F24" w:rsidRPr="00100AEF" w:rsidRDefault="00876F24" w:rsidP="00876F24">
      <w:r w:rsidRPr="00100AEF">
        <w:t>VASSP welcomes continued engagement in structured system design discussions and would value the opportunity to contribute principal expertise to the next phase of reform.</w:t>
      </w:r>
    </w:p>
    <w:p w14:paraId="7AE7D4D7" w14:textId="77777777" w:rsidR="0033295C" w:rsidRDefault="0033295C"/>
    <w:sectPr w:rsidR="0033295C">
      <w:headerReference w:type="even" r:id="rId10"/>
      <w:headerReference w:type="default" r:id="rId11"/>
      <w:footerReference w:type="even" r:id="rId12"/>
      <w:footerReference w:type="default" r:id="rId13"/>
      <w:headerReference w:type="first" r:id="rId14"/>
      <w:footerReference w:type="first" r:id="rId15"/>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8D1C5C2" w14:textId="77777777" w:rsidR="004B4603" w:rsidRDefault="004B4603" w:rsidP="00100AEF">
      <w:pPr>
        <w:spacing w:after="0" w:line="240" w:lineRule="auto"/>
      </w:pPr>
      <w:r>
        <w:separator/>
      </w:r>
    </w:p>
  </w:endnote>
  <w:endnote w:type="continuationSeparator" w:id="0">
    <w:p w14:paraId="24C3292A" w14:textId="77777777" w:rsidR="004B4603" w:rsidRDefault="004B4603" w:rsidP="00100AE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DCAF475" w14:textId="77777777" w:rsidR="00100AEF" w:rsidRDefault="00100AEF">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E9D583C" w14:textId="77777777" w:rsidR="00100AEF" w:rsidRDefault="00100AEF">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984C2FB" w14:textId="77777777" w:rsidR="00100AEF" w:rsidRDefault="00100AE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C919367" w14:textId="77777777" w:rsidR="004B4603" w:rsidRDefault="004B4603" w:rsidP="00100AEF">
      <w:pPr>
        <w:spacing w:after="0" w:line="240" w:lineRule="auto"/>
      </w:pPr>
      <w:r>
        <w:separator/>
      </w:r>
    </w:p>
  </w:footnote>
  <w:footnote w:type="continuationSeparator" w:id="0">
    <w:p w14:paraId="39DBDE9C" w14:textId="77777777" w:rsidR="004B4603" w:rsidRDefault="004B4603" w:rsidP="00100AE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3F16EC5" w14:textId="77777777" w:rsidR="00100AEF" w:rsidRDefault="00100AEF">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B5D9417" w14:textId="7CB49E92" w:rsidR="00100AEF" w:rsidRDefault="00100AEF">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AAE9B54" w14:textId="77777777" w:rsidR="00100AEF" w:rsidRDefault="00100AEF">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A807C08"/>
    <w:multiLevelType w:val="multilevel"/>
    <w:tmpl w:val="1758EF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39108383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9"/>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00AEF"/>
    <w:rsid w:val="000A6601"/>
    <w:rsid w:val="000B659B"/>
    <w:rsid w:val="00100AEF"/>
    <w:rsid w:val="001A0B61"/>
    <w:rsid w:val="002B6B34"/>
    <w:rsid w:val="00321F92"/>
    <w:rsid w:val="0033295C"/>
    <w:rsid w:val="00354FD3"/>
    <w:rsid w:val="0036444E"/>
    <w:rsid w:val="003A077F"/>
    <w:rsid w:val="003B5A94"/>
    <w:rsid w:val="00495F77"/>
    <w:rsid w:val="004B4603"/>
    <w:rsid w:val="004B5A65"/>
    <w:rsid w:val="004C5575"/>
    <w:rsid w:val="00551A7E"/>
    <w:rsid w:val="005D2211"/>
    <w:rsid w:val="005D68FB"/>
    <w:rsid w:val="006162FA"/>
    <w:rsid w:val="00656F4A"/>
    <w:rsid w:val="006C2CDD"/>
    <w:rsid w:val="007A2AB8"/>
    <w:rsid w:val="00876F24"/>
    <w:rsid w:val="008E3FDB"/>
    <w:rsid w:val="00901FC8"/>
    <w:rsid w:val="00930F7C"/>
    <w:rsid w:val="00A61603"/>
    <w:rsid w:val="00A67762"/>
    <w:rsid w:val="00AB4927"/>
    <w:rsid w:val="00B47068"/>
    <w:rsid w:val="00B521DD"/>
    <w:rsid w:val="00C85A10"/>
    <w:rsid w:val="00CE39B2"/>
    <w:rsid w:val="00DD3579"/>
    <w:rsid w:val="00DD70C3"/>
    <w:rsid w:val="00E23F82"/>
    <w:rsid w:val="00E714FA"/>
    <w:rsid w:val="00F21E8D"/>
    <w:rsid w:val="00F4240C"/>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2EC18DF"/>
  <w15:chartTrackingRefBased/>
  <w15:docId w15:val="{DB09F89C-71BB-471B-9F2F-7858CDE235A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AU"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76F24"/>
  </w:style>
  <w:style w:type="paragraph" w:styleId="Heading1">
    <w:name w:val="heading 1"/>
    <w:basedOn w:val="Normal"/>
    <w:next w:val="Normal"/>
    <w:link w:val="Heading1Char"/>
    <w:uiPriority w:val="9"/>
    <w:qFormat/>
    <w:rsid w:val="00100AEF"/>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100AEF"/>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100AEF"/>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100AEF"/>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100AEF"/>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100AEF"/>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100AEF"/>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100AEF"/>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100AEF"/>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00AEF"/>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100AEF"/>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100AEF"/>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100AEF"/>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100AEF"/>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100AEF"/>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100AEF"/>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100AEF"/>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100AEF"/>
    <w:rPr>
      <w:rFonts w:eastAsiaTheme="majorEastAsia" w:cstheme="majorBidi"/>
      <w:color w:val="272727" w:themeColor="text1" w:themeTint="D8"/>
    </w:rPr>
  </w:style>
  <w:style w:type="paragraph" w:styleId="Title">
    <w:name w:val="Title"/>
    <w:basedOn w:val="Normal"/>
    <w:next w:val="Normal"/>
    <w:link w:val="TitleChar"/>
    <w:uiPriority w:val="10"/>
    <w:qFormat/>
    <w:rsid w:val="00100AEF"/>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100AEF"/>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100AEF"/>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100AEF"/>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100AEF"/>
    <w:pPr>
      <w:spacing w:before="160"/>
      <w:jc w:val="center"/>
    </w:pPr>
    <w:rPr>
      <w:i/>
      <w:iCs/>
      <w:color w:val="404040" w:themeColor="text1" w:themeTint="BF"/>
    </w:rPr>
  </w:style>
  <w:style w:type="character" w:customStyle="1" w:styleId="QuoteChar">
    <w:name w:val="Quote Char"/>
    <w:basedOn w:val="DefaultParagraphFont"/>
    <w:link w:val="Quote"/>
    <w:uiPriority w:val="29"/>
    <w:rsid w:val="00100AEF"/>
    <w:rPr>
      <w:i/>
      <w:iCs/>
      <w:color w:val="404040" w:themeColor="text1" w:themeTint="BF"/>
    </w:rPr>
  </w:style>
  <w:style w:type="paragraph" w:styleId="ListParagraph">
    <w:name w:val="List Paragraph"/>
    <w:basedOn w:val="Normal"/>
    <w:uiPriority w:val="34"/>
    <w:qFormat/>
    <w:rsid w:val="00100AEF"/>
    <w:pPr>
      <w:ind w:left="720"/>
      <w:contextualSpacing/>
    </w:pPr>
  </w:style>
  <w:style w:type="character" w:styleId="IntenseEmphasis">
    <w:name w:val="Intense Emphasis"/>
    <w:basedOn w:val="DefaultParagraphFont"/>
    <w:uiPriority w:val="21"/>
    <w:qFormat/>
    <w:rsid w:val="00100AEF"/>
    <w:rPr>
      <w:i/>
      <w:iCs/>
      <w:color w:val="0F4761" w:themeColor="accent1" w:themeShade="BF"/>
    </w:rPr>
  </w:style>
  <w:style w:type="paragraph" w:styleId="IntenseQuote">
    <w:name w:val="Intense Quote"/>
    <w:basedOn w:val="Normal"/>
    <w:next w:val="Normal"/>
    <w:link w:val="IntenseQuoteChar"/>
    <w:uiPriority w:val="30"/>
    <w:qFormat/>
    <w:rsid w:val="00100AEF"/>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100AEF"/>
    <w:rPr>
      <w:i/>
      <w:iCs/>
      <w:color w:val="0F4761" w:themeColor="accent1" w:themeShade="BF"/>
    </w:rPr>
  </w:style>
  <w:style w:type="character" w:styleId="IntenseReference">
    <w:name w:val="Intense Reference"/>
    <w:basedOn w:val="DefaultParagraphFont"/>
    <w:uiPriority w:val="32"/>
    <w:qFormat/>
    <w:rsid w:val="00100AEF"/>
    <w:rPr>
      <w:b/>
      <w:bCs/>
      <w:smallCaps/>
      <w:color w:val="0F4761" w:themeColor="accent1" w:themeShade="BF"/>
      <w:spacing w:val="5"/>
    </w:rPr>
  </w:style>
  <w:style w:type="character" w:styleId="Hyperlink">
    <w:name w:val="Hyperlink"/>
    <w:basedOn w:val="DefaultParagraphFont"/>
    <w:uiPriority w:val="99"/>
    <w:unhideWhenUsed/>
    <w:rsid w:val="00100AEF"/>
    <w:rPr>
      <w:color w:val="467886" w:themeColor="hyperlink"/>
      <w:u w:val="single"/>
    </w:rPr>
  </w:style>
  <w:style w:type="character" w:styleId="UnresolvedMention">
    <w:name w:val="Unresolved Mention"/>
    <w:basedOn w:val="DefaultParagraphFont"/>
    <w:uiPriority w:val="99"/>
    <w:semiHidden/>
    <w:unhideWhenUsed/>
    <w:rsid w:val="00100AEF"/>
    <w:rPr>
      <w:color w:val="605E5C"/>
      <w:shd w:val="clear" w:color="auto" w:fill="E1DFDD"/>
    </w:rPr>
  </w:style>
  <w:style w:type="paragraph" w:styleId="Header">
    <w:name w:val="header"/>
    <w:basedOn w:val="Normal"/>
    <w:link w:val="HeaderChar"/>
    <w:uiPriority w:val="99"/>
    <w:unhideWhenUsed/>
    <w:rsid w:val="00100AEF"/>
    <w:pPr>
      <w:tabs>
        <w:tab w:val="center" w:pos="4513"/>
        <w:tab w:val="right" w:pos="9026"/>
      </w:tabs>
      <w:spacing w:after="0" w:line="240" w:lineRule="auto"/>
    </w:pPr>
  </w:style>
  <w:style w:type="character" w:customStyle="1" w:styleId="HeaderChar">
    <w:name w:val="Header Char"/>
    <w:basedOn w:val="DefaultParagraphFont"/>
    <w:link w:val="Header"/>
    <w:uiPriority w:val="99"/>
    <w:rsid w:val="00100AEF"/>
  </w:style>
  <w:style w:type="paragraph" w:styleId="Footer">
    <w:name w:val="footer"/>
    <w:basedOn w:val="Normal"/>
    <w:link w:val="FooterChar"/>
    <w:uiPriority w:val="99"/>
    <w:unhideWhenUsed/>
    <w:rsid w:val="00100AEF"/>
    <w:pPr>
      <w:tabs>
        <w:tab w:val="center" w:pos="4513"/>
        <w:tab w:val="right" w:pos="9026"/>
      </w:tabs>
      <w:spacing w:after="0" w:line="240" w:lineRule="auto"/>
    </w:pPr>
  </w:style>
  <w:style w:type="character" w:customStyle="1" w:styleId="FooterChar">
    <w:name w:val="Footer Char"/>
    <w:basedOn w:val="DefaultParagraphFont"/>
    <w:link w:val="Footer"/>
    <w:uiPriority w:val="99"/>
    <w:rsid w:val="00100AE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bhudak@vassp.org.au" TargetMode="External"/><Relationship Id="rId13" Type="http://schemas.openxmlformats.org/officeDocument/2006/relationships/footer" Target="footer2.xml"/><Relationship Id="rId18" Type="http://schemas.openxmlformats.org/officeDocument/2006/relationships/customXml" Target="../customXml/item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20" Type="http://schemas.openxmlformats.org/officeDocument/2006/relationships/customXml" Target="../customXml/item3.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2.xml"/><Relationship Id="rId5" Type="http://schemas.openxmlformats.org/officeDocument/2006/relationships/footnotes" Target="footnotes.xml"/><Relationship Id="rId15" Type="http://schemas.openxmlformats.org/officeDocument/2006/relationships/footer" Target="footer3.xml"/><Relationship Id="rId10" Type="http://schemas.openxmlformats.org/officeDocument/2006/relationships/header" Target="header1.xml"/><Relationship Id="rId19" Type="http://schemas.openxmlformats.org/officeDocument/2006/relationships/customXml" Target="../customXml/item2.xml"/><Relationship Id="rId4" Type="http://schemas.openxmlformats.org/officeDocument/2006/relationships/webSettings" Target="webSettings.xml"/><Relationship Id="rId9" Type="http://schemas.openxmlformats.org/officeDocument/2006/relationships/hyperlink" Target="http://www.vassp.org.au/" TargetMode="External"/><Relationship Id="rId14" Type="http://schemas.openxmlformats.org/officeDocument/2006/relationships/header" Target="head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60D932E7169F584CA030C90F268C6DA7" ma:contentTypeVersion="16" ma:contentTypeDescription="Create a new document." ma:contentTypeScope="" ma:versionID="ae5313994b5d505956c1636093c46795">
  <xsd:schema xmlns:xsd="http://www.w3.org/2001/XMLSchema" xmlns:xs="http://www.w3.org/2001/XMLSchema" xmlns:p="http://schemas.microsoft.com/office/2006/metadata/properties" xmlns:ns2="b30f4e8d-5e7f-4a46-9c33-291f0910f171" xmlns:ns3="701c54ab-9428-4f6f-80e0-52b3def98a75" targetNamespace="http://schemas.microsoft.com/office/2006/metadata/properties" ma:root="true" ma:fieldsID="9329a85a338aebda70fac4a3e32583ae" ns2:_="" ns3:_="">
    <xsd:import namespace="b30f4e8d-5e7f-4a46-9c33-291f0910f171"/>
    <xsd:import namespace="701c54ab-9428-4f6f-80e0-52b3def98a75"/>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LengthInSeconds" minOccurs="0"/>
                <xsd:element ref="ns2:MediaServiceLocation" minOccurs="0"/>
                <xsd:element ref="ns2:MediaServiceGenerationTime" minOccurs="0"/>
                <xsd:element ref="ns2:MediaServiceEventHashCode" minOccurs="0"/>
                <xsd:element ref="ns2:lcf76f155ced4ddcb4097134ff3c332f" minOccurs="0"/>
                <xsd:element ref="ns3:TaxCatchAll" minOccurs="0"/>
                <xsd:element ref="ns3:SharedWithUsers" minOccurs="0"/>
                <xsd:element ref="ns3:SharedWithDetails" minOccurs="0"/>
                <xsd:element ref="ns2:MediaServiceOCR" minOccurs="0"/>
                <xsd:element ref="ns2:MediaServiceObjectDetectorVersions" minOccurs="0"/>
                <xsd:element ref="ns2:MediaServiceSearchProperties"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30f4e8d-5e7f-4a46-9c33-291f0910f17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dexed="true" ma:internalName="MediaServiceDateTaken" ma:readOnly="true">
      <xsd:simpleType>
        <xsd:restriction base="dms:Text"/>
      </xsd:simpleType>
    </xsd:element>
    <xsd:element name="MediaLengthInSeconds" ma:index="11" nillable="true" ma:displayName="MediaLengthInSeconds" ma:hidden="true" ma:internalName="MediaLengthInSeconds" ma:readOnly="true">
      <xsd:simpleType>
        <xsd:restriction base="dms:Unknown"/>
      </xsd:simpleType>
    </xsd:element>
    <xsd:element name="MediaServiceLocation" ma:index="12" nillable="true" ma:displayName="Location" ma:description="" ma:indexed="true" ma:internalName="MediaServiceLocation"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lcf76f155ced4ddcb4097134ff3c332f" ma:index="16" nillable="true" ma:taxonomy="true" ma:internalName="lcf76f155ced4ddcb4097134ff3c332f" ma:taxonomyFieldName="MediaServiceImageTags" ma:displayName="Image Tags" ma:readOnly="false" ma:fieldId="{5cf76f15-5ced-4ddc-b409-7134ff3c332f}" ma:taxonomyMulti="true" ma:sspId="413b713d-04ea-4b74-8aea-940afc54999d" ma:termSetId="09814cd3-568e-fe90-9814-8d621ff8fb84" ma:anchorId="fba54fb3-c3e1-fe81-a776-ca4b69148c4d" ma:open="true" ma:isKeyword="false">
      <xsd:complexType>
        <xsd:sequence>
          <xsd:element ref="pc:Terms" minOccurs="0" maxOccurs="1"/>
        </xsd:sequence>
      </xsd:complexType>
    </xsd:element>
    <xsd:element name="MediaServiceOCR" ma:index="20" nillable="true" ma:displayName="Extracted Text" ma:internalName="MediaServiceOCR" ma:readOnly="true">
      <xsd:simpleType>
        <xsd:restriction base="dms:Note">
          <xsd:maxLength value="255"/>
        </xsd:restriction>
      </xsd:simpleType>
    </xsd:element>
    <xsd:element name="MediaServiceObjectDetectorVersions" ma:index="21"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2" nillable="true" ma:displayName="MediaServiceSearchProperties" ma:hidden="true" ma:internalName="MediaServiceSearchProperties" ma:readOnly="true">
      <xsd:simpleType>
        <xsd:restriction base="dms:Note"/>
      </xsd:simpleType>
    </xsd:element>
    <xsd:element name="MediaServiceBillingMetadata" ma:index="23"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701c54ab-9428-4f6f-80e0-52b3def98a75" elementFormDefault="qualified">
    <xsd:import namespace="http://schemas.microsoft.com/office/2006/documentManagement/types"/>
    <xsd:import namespace="http://schemas.microsoft.com/office/infopath/2007/PartnerControls"/>
    <xsd:element name="TaxCatchAll" ma:index="17" nillable="true" ma:displayName="Taxonomy Catch All Column" ma:hidden="true" ma:list="{d72a41f2-b1a9-419b-8709-cd7182dbfe20}" ma:internalName="TaxCatchAll" ma:showField="CatchAllData" ma:web="701c54ab-9428-4f6f-80e0-52b3def98a75">
      <xsd:complexType>
        <xsd:complexContent>
          <xsd:extension base="dms:MultiChoiceLookup">
            <xsd:sequence>
              <xsd:element name="Value" type="dms:Lookup" maxOccurs="unbounded" minOccurs="0" nillable="true"/>
            </xsd:sequence>
          </xsd:extension>
        </xsd:complexContent>
      </xsd:complexType>
    </xsd:element>
    <xsd:element name="SharedWithUsers" ma:index="1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b30f4e8d-5e7f-4a46-9c33-291f0910f171">
      <Terms xmlns="http://schemas.microsoft.com/office/infopath/2007/PartnerControls"/>
    </lcf76f155ced4ddcb4097134ff3c332f>
    <TaxCatchAll xmlns="701c54ab-9428-4f6f-80e0-52b3def98a75" xsi:nil="true"/>
  </documentManagement>
</p:properties>
</file>

<file path=customXml/itemProps1.xml><?xml version="1.0" encoding="utf-8"?>
<ds:datastoreItem xmlns:ds="http://schemas.openxmlformats.org/officeDocument/2006/customXml" ds:itemID="{AB7662EE-36F4-4FFA-9DB6-1F3283EC4697}"/>
</file>

<file path=customXml/itemProps2.xml><?xml version="1.0" encoding="utf-8"?>
<ds:datastoreItem xmlns:ds="http://schemas.openxmlformats.org/officeDocument/2006/customXml" ds:itemID="{E1BCCB2F-A83F-4F4C-961B-CB506BAE5063}"/>
</file>

<file path=customXml/itemProps3.xml><?xml version="1.0" encoding="utf-8"?>
<ds:datastoreItem xmlns:ds="http://schemas.openxmlformats.org/officeDocument/2006/customXml" ds:itemID="{C6E24B4F-4BEE-4AA9-8698-6B68D55CA5AC}"/>
</file>

<file path=docProps/app.xml><?xml version="1.0" encoding="utf-8"?>
<Properties xmlns="http://schemas.openxmlformats.org/officeDocument/2006/extended-properties" xmlns:vt="http://schemas.openxmlformats.org/officeDocument/2006/docPropsVTypes">
  <Template>Normal</Template>
  <TotalTime>3336</TotalTime>
  <Pages>1</Pages>
  <Words>2020</Words>
  <Characters>12548</Characters>
  <Application>Microsoft Office Word</Application>
  <DocSecurity>0</DocSecurity>
  <Lines>697</Lines>
  <Paragraphs>520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14048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Belinda Hudak</dc:creator>
  <cp:keywords/>
  <dc:description/>
  <cp:lastModifiedBy>Belinda Hudak</cp:lastModifiedBy>
  <cp:revision>30</cp:revision>
  <dcterms:created xsi:type="dcterms:W3CDTF">2026-02-19T23:32:00Z</dcterms:created>
  <dcterms:modified xsi:type="dcterms:W3CDTF">2026-03-10T02:13:00Z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0x01010060D932E7169F584CA030C90F268C6DA7</vt:lpwstr>
  </property>
</Properties>
</file>